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CellSpacing w:w="0" w:type="dxa"/>
        <w:tblBorders>
          <w:left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  <w:gridCol w:w="150"/>
        <w:gridCol w:w="2250"/>
      </w:tblGrid>
      <w:tr w:rsidR="006A35FB" w:rsidRPr="006A35FB" w:rsidTr="006A35F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95"/>
            </w:tblGrid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7"/>
                      <w:szCs w:val="27"/>
                    </w:rPr>
                    <w:t>List of Approved Encapsulants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Encapsulants are coatings which are usually sprayed or rolled onto surfaces, and are formulated to bond with the underlying paint coatings. This makes </w:t>
                  </w:r>
                  <w:proofErr w:type="gram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a long-lasting barriers</w:t>
                  </w:r>
                  <w:proofErr w:type="gram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between the lead and human contact. 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0"/>
                      <w:szCs w:val="20"/>
                    </w:rPr>
                    <w:t>Conventional paints are not</w:t>
                  </w:r>
                  <w:r w:rsidRPr="006A35FB">
                    <w:rPr>
                      <w:rFonts w:ascii="Arial" w:eastAsia="Times New Roman" w:hAnsi="Arial" w:cs="Arial"/>
                      <w:color w:val="000040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0"/>
                      <w:szCs w:val="20"/>
                    </w:rPr>
                    <w:t>encapsulants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b/>
                      <w:bCs/>
                      <w:color w:val="000040"/>
                      <w:sz w:val="20"/>
                      <w:szCs w:val="20"/>
                    </w:rPr>
                    <w:t>!</w:t>
                  </w:r>
                  <w:r w:rsidRPr="006A35FB">
                    <w:rPr>
                      <w:rFonts w:ascii="Arial" w:eastAsia="Times New Roman" w:hAnsi="Arial" w:cs="Arial"/>
                      <w:color w:val="000040"/>
                      <w:sz w:val="20"/>
                      <w:szCs w:val="20"/>
                    </w:rPr>
                    <w:t xml:space="preserve"> 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By definition, the application of an encapsulant to address lead paint or lead hazards is abatement and must be performed by a certified lead abatement professional. Individuals not certified to perform lead abatement, and therefore may not apply lead </w:t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encapsulants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include, but are not limited to: EPA Certified Renovators, painters, carpenters, </w:t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pumbers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, floor covering installers, landlords (unless working in the unit they themselves occupy), window installers, electricians, and HVAC installers. Home owners may apply </w:t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encapsulants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to their own homes during remodeling, renovating and painting projects. Manufacturers' </w:t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instuctions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must be read carefully to determine if an encapsulant is an appropriate option, and proper surface preparation and application procedures must be followed.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The following is a partial list of encapsulant products that have been approved for use in Michigan for lead abatement projects and to make painted surfaces safer for young children. Other </w:t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encapsulants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may be used provided they meet the ASTM </w:t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Internation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Standard (formerly known as the American Society for Testing and Materials (ASTM)). The encapsulant label should indicate that it meets ASTM standards and the two that apply to lead-based paint </w:t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encapsulants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are 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ASTM E 1796-03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for liquid encapsulant products and 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u w:val="single"/>
                    </w:rPr>
                    <w:t>ASTM E 1797-04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for reinforced liquid encapsulant products. If an encapsulant do</w:t>
                  </w:r>
                  <w:bookmarkStart w:id="0" w:name="_GoBack"/>
                  <w:bookmarkEnd w:id="0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es not have one of these ASTM standard numbers, then that product is not approved for use in the State of Michigan as a lead-based paint encapsulant.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</w:rPr>
                    <w:t>NOTE: The State of Michigan does not conduct testing on encapsulant products, but approves materials based on compliance with ASTM standards and testing by competent national and regional laboratories.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L-B-C Lead Barrier Compound Type III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Child Guard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LeadMaster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Fiberlock Technologies, Inc.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150 Dascomb Road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Andover, MA 01810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800-342-3755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Insl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-Cap Lead Encapsulating Compound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Back to Nature "Protect-A-Coat"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Dynacraft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Industries, Inc./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Back to Nature Products Company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28 Harrison Avenue, Suite 238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Englishtown, NJ 07726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800-211-5175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Certane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4000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LEADSTOP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Certane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, Inc.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695 West Avenue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Milford, CT 06460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LeadLock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GE-40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Global Encasement, Inc.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132 32nd Street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Union City, NJ 07087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800-266-3982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Lead Block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Lead Cover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Premier Coatings, Inc.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2250 Arthur Avenue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Elk Grove Village, IL 60007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847-439-4200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Encapseal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Encapseal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II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Encap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Systems Corporation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3800 Gardenia Avenue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Orlando, FL 32829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Toll free 826.481.0403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407.481.0403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168-1 Lead Barrier Acrylic Membrane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Coating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Coronado Paint Company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308 Old County Road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Edgewater, FL 32132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800.883.4193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Barrier Coat II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W.R. Grace and Company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 xml:space="preserve">62 </w:t>
                  </w:r>
                  <w:proofErr w:type="spellStart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Whittemore</w:t>
                  </w:r>
                  <w:proofErr w:type="spellEnd"/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Avenue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Cambridge, MA 02140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800.334.8796</w:t>
                  </w:r>
                </w:p>
                <w:p w:rsidR="006A35FB" w:rsidRPr="006A35FB" w:rsidRDefault="006A35FB" w:rsidP="006A35FB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SE-110 Penetrating Stabilizer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SE-120 Protective-Skin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Safe Encasement Systems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7860 Dana Point Court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Las Vegas, NV 89117</w:t>
                  </w:r>
                  <w:r w:rsidRPr="006A35F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br/>
                    <w:t>Toll free 888.277.8834</w:t>
                  </w:r>
                </w:p>
              </w:tc>
            </w:tr>
          </w:tbl>
          <w:p w:rsidR="006A35FB" w:rsidRPr="006A35FB" w:rsidRDefault="006A35FB" w:rsidP="006A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5" w:type="dxa"/>
            <w:shd w:val="clear" w:color="auto" w:fill="FFFFFF"/>
            <w:hideMark/>
          </w:tcPr>
          <w:p w:rsidR="006A35FB" w:rsidRPr="006A35FB" w:rsidRDefault="006A35FB" w:rsidP="006A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5F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 wp14:anchorId="78321D07" wp14:editId="35908483">
                  <wp:extent cx="95250" cy="9525"/>
                  <wp:effectExtent l="0" t="0" r="0" b="0"/>
                  <wp:docPr id="1" name="Picture 1" descr="http://www.michigan.gov/images/0_99_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ichigan.gov/images/0_99_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shd w:val="clear" w:color="auto" w:fill="FFFFFF"/>
            <w:hideMark/>
          </w:tcPr>
          <w:tbl>
            <w:tblPr>
              <w:tblW w:w="2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0428DFDC" wp14:editId="2F20BB96">
                        <wp:extent cx="1428750" cy="190500"/>
                        <wp:effectExtent l="0" t="0" r="0" b="0"/>
                        <wp:docPr id="2" name="Picture 2" descr="Michigan Business One Stop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Michigan Business One Stop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4997748" wp14:editId="5E81CAEA">
                        <wp:extent cx="1428750" cy="180975"/>
                        <wp:effectExtent l="0" t="0" r="0" b="9525"/>
                        <wp:docPr id="3" name="Picture 3" descr="Link to Department and Agencies Web Site Index">
                          <a:hlinkClick xmlns:a="http://schemas.openxmlformats.org/drawingml/2006/main" r:id="rId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Link to Department and Agencies Web Site Index">
                                  <a:hlinkClick r:id="rId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7136D83D" wp14:editId="60127EFD">
                        <wp:extent cx="1428750" cy="180975"/>
                        <wp:effectExtent l="0" t="0" r="0" b="9525"/>
                        <wp:docPr id="4" name="Picture 4" descr="Link to Statewide Online Services Index">
                          <a:hlinkClick xmlns:a="http://schemas.openxmlformats.org/drawingml/2006/main" r:id="rId1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Link to Statewide Online Services Index">
                                  <a:hlinkClick r:id="rId10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5EC58BD2" wp14:editId="5B91E92E">
                        <wp:extent cx="1428750" cy="180975"/>
                        <wp:effectExtent l="0" t="0" r="0" b="9525"/>
                        <wp:docPr id="5" name="Picture 5" descr="Link to Statewide Web-based Surveys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Link to Statewide Web-based Surveys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184BAA56" wp14:editId="29D25F17">
                        <wp:extent cx="1428750" cy="180975"/>
                        <wp:effectExtent l="0" t="0" r="0" b="9525"/>
                        <wp:docPr id="6" name="Picture 6" descr="Link to RSS feeds available on this site">
                          <a:hlinkClick xmlns:a="http://schemas.openxmlformats.org/drawingml/2006/main" r:id="rId1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Link to RSS feeds available on this site">
                                  <a:hlinkClick r:id="rId1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A35FB" w:rsidRPr="006A35FB" w:rsidRDefault="006A35FB" w:rsidP="006A35FB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4"/>
                <w:szCs w:val="24"/>
              </w:rPr>
            </w:pPr>
          </w:p>
          <w:tbl>
            <w:tblPr>
              <w:tblW w:w="2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2175"/>
            </w:tblGrid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</w:rPr>
                    <w:drawing>
                      <wp:inline distT="0" distB="0" distL="0" distR="0" wp14:anchorId="4D284748" wp14:editId="1D436E66">
                        <wp:extent cx="9525" cy="19050"/>
                        <wp:effectExtent l="0" t="0" r="0" b="0"/>
                        <wp:docPr id="7" name="Picture 7" descr="http://www.michigan.gov/images/0_99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michigan.gov/images/0_99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6666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b/>
                      <w:bCs/>
                      <w:noProof/>
                      <w:color w:val="006666"/>
                      <w:sz w:val="24"/>
                      <w:szCs w:val="24"/>
                    </w:rPr>
                    <w:drawing>
                      <wp:inline distT="0" distB="0" distL="0" distR="0" wp14:anchorId="6D001CF5" wp14:editId="3863CAEE">
                        <wp:extent cx="9525" cy="9525"/>
                        <wp:effectExtent l="0" t="0" r="0" b="0"/>
                        <wp:docPr id="8" name="Picture 8" descr="http://www.michigan.gov/images/0_99_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michigan.gov/images/0_99_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6666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b/>
                      <w:bCs/>
                      <w:color w:val="006666"/>
                      <w:sz w:val="24"/>
                      <w:szCs w:val="24"/>
                    </w:rPr>
                    <w:t>Related Content</w:t>
                  </w:r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16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EBL Environmental Investigators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17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Certification process - Lead professionals &amp; contractors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18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Lead Training Course Schedule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19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Accredited Lead Training Providers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0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Lead Certification (third-party) Exams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1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List of Certified Lead Professionals &amp; Firms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2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 xml:space="preserve">Lead Risk Assessors 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3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Lead-based Paint Inspectors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4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Lead Clearance Technicians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5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Lead Abatement Supervisors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6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Lead Abatement Workers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7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Lead Project Designers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8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Lead Contractors - abatement &amp; renovation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29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Regulatory Resources for Lead Professionals &amp; Contractors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30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Forms for Lead Professionals &amp; Contractors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31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>Insurance for Lead Abatement Contractors</w:t>
                    </w:r>
                  </w:hyperlink>
                </w:p>
              </w:tc>
            </w:tr>
            <w:tr w:rsidR="006A35FB" w:rsidRPr="006A35FB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6A35FB">
                    <w:rPr>
                      <w:rFonts w:ascii="Arial" w:eastAsia="Times New Roman" w:hAnsi="Arial" w:cs="Arial"/>
                      <w:color w:val="063843"/>
                      <w:sz w:val="17"/>
                      <w:szCs w:val="17"/>
                    </w:rPr>
                    <w:t xml:space="preserve">• </w:t>
                  </w:r>
                </w:p>
              </w:tc>
              <w:tc>
                <w:tcPr>
                  <w:tcW w:w="2175" w:type="dxa"/>
                  <w:vAlign w:val="center"/>
                  <w:hideMark/>
                </w:tcPr>
                <w:p w:rsidR="006A35FB" w:rsidRPr="006A35FB" w:rsidRDefault="006A35FB" w:rsidP="006A35F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hyperlink r:id="rId32" w:history="1">
                    <w:r w:rsidRPr="006A35FB">
                      <w:rPr>
                        <w:rFonts w:ascii="Arial" w:eastAsia="Times New Roman" w:hAnsi="Arial" w:cs="Arial"/>
                        <w:color w:val="063843"/>
                        <w:sz w:val="17"/>
                        <w:szCs w:val="17"/>
                      </w:rPr>
                      <w:t xml:space="preserve">UPDATES &amp; Interpretive Guidance </w:t>
                    </w:r>
                  </w:hyperlink>
                </w:p>
              </w:tc>
            </w:tr>
          </w:tbl>
          <w:p w:rsidR="006A35FB" w:rsidRPr="006A35FB" w:rsidRDefault="006A35FB" w:rsidP="006A35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6A35FB" w:rsidRPr="006A35FB" w:rsidRDefault="006A35FB" w:rsidP="006A35FB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</w:rPr>
      </w:pPr>
    </w:p>
    <w:tbl>
      <w:tblPr>
        <w:tblW w:w="144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6A35FB" w:rsidRPr="006A35FB" w:rsidTr="006A35F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A35FB" w:rsidRPr="006A35FB" w:rsidRDefault="006A35FB" w:rsidP="006A35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A35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hyperlink r:id="rId33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Michigan.gov Home</w:t>
              </w:r>
            </w:hyperlink>
            <w:r w:rsidRPr="006A35FB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 xml:space="preserve"> | </w:t>
            </w:r>
            <w:hyperlink r:id="rId34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MDCH Home</w:t>
              </w:r>
            </w:hyperlink>
            <w:r w:rsidRPr="006A35FB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 xml:space="preserve"> | </w:t>
            </w:r>
            <w:hyperlink r:id="rId35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Contact MDCH</w:t>
              </w:r>
            </w:hyperlink>
            <w:r w:rsidRPr="006A35FB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 xml:space="preserve"> | </w:t>
            </w:r>
            <w:hyperlink r:id="rId36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State Web Sites</w:t>
              </w:r>
            </w:hyperlink>
            <w:r w:rsidRPr="006A35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hyperlink r:id="rId37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Privacy Policy</w:t>
              </w:r>
            </w:hyperlink>
            <w:r w:rsidRPr="006A35FB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 xml:space="preserve"> | </w:t>
            </w:r>
            <w:hyperlink r:id="rId38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Link Policy</w:t>
              </w:r>
            </w:hyperlink>
            <w:r w:rsidRPr="006A35FB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 xml:space="preserve"> | </w:t>
            </w:r>
            <w:hyperlink r:id="rId39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Accessibility Policy</w:t>
              </w:r>
            </w:hyperlink>
            <w:r w:rsidRPr="006A35FB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 xml:space="preserve"> | </w:t>
            </w:r>
            <w:hyperlink r:id="rId40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Security Policy</w:t>
              </w:r>
            </w:hyperlink>
            <w:r w:rsidRPr="006A35FB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 xml:space="preserve"> | </w:t>
            </w:r>
            <w:hyperlink r:id="rId41" w:tgtFrame="_new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Michigan News</w:t>
              </w:r>
            </w:hyperlink>
            <w:r w:rsidRPr="006A35FB">
              <w:rPr>
                <w:rFonts w:ascii="Arial" w:eastAsia="Times New Roman" w:hAnsi="Arial" w:cs="Arial"/>
                <w:color w:val="FFFFFF"/>
                <w:sz w:val="14"/>
                <w:szCs w:val="14"/>
              </w:rPr>
              <w:t xml:space="preserve"> | </w:t>
            </w:r>
            <w:hyperlink r:id="rId42" w:history="1">
              <w:r w:rsidRPr="006A35FB">
                <w:rPr>
                  <w:rFonts w:ascii="Arial" w:eastAsia="Times New Roman" w:hAnsi="Arial" w:cs="Arial"/>
                  <w:color w:val="000000"/>
                  <w:sz w:val="19"/>
                  <w:szCs w:val="19"/>
                  <w:u w:val="single"/>
                </w:rPr>
                <w:t>Michigan.gov Survey</w:t>
              </w:r>
            </w:hyperlink>
            <w:r w:rsidRPr="006A35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r w:rsidRPr="006A35FB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br/>
              <w:t>Copyright © 2001-2011 State of Michigan</w:t>
            </w:r>
            <w:r w:rsidRPr="006A35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A35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pict/>
            </w:r>
            <w:r w:rsidRPr="006A35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pict/>
            </w:r>
            <w:r w:rsidRPr="006A35F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pict/>
            </w:r>
          </w:p>
        </w:tc>
      </w:tr>
    </w:tbl>
    <w:p w:rsidR="00134BAA" w:rsidRDefault="00134BAA"/>
    <w:sectPr w:rsidR="00134B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FB"/>
    <w:rsid w:val="00134BAA"/>
    <w:rsid w:val="006A35FB"/>
    <w:rsid w:val="00D2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15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higan.gov/som/0,1607,7-192-29701_29702_30045---,00.html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://www.michigan.gov/mdch/0,4612,7-132-2940_2955_2983-44181--,00.html" TargetMode="External"/><Relationship Id="rId26" Type="http://schemas.openxmlformats.org/officeDocument/2006/relationships/hyperlink" Target="http://www.michigan.gov/mdch/0,4612,7-132-2940_2955_2983-19919--,00.html" TargetMode="External"/><Relationship Id="rId39" Type="http://schemas.openxmlformats.org/officeDocument/2006/relationships/hyperlink" Target="http://www.michigan.gov/mdch/0,4612,7-132-3837-2090--,00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ichigan.gov/mdch/0,4612,7-132-2940_2955_2983-95171--,00.html" TargetMode="External"/><Relationship Id="rId34" Type="http://schemas.openxmlformats.org/officeDocument/2006/relationships/hyperlink" Target="http://www.michigan.gov/mdch" TargetMode="External"/><Relationship Id="rId42" Type="http://schemas.openxmlformats.org/officeDocument/2006/relationships/hyperlink" Target="http://www.michigan.gov/mdch/0,4612,7-132-2940_2955_2983-115596--,00.html" TargetMode="External"/><Relationship Id="rId7" Type="http://schemas.openxmlformats.org/officeDocument/2006/relationships/image" Target="media/image2.gif"/><Relationship Id="rId12" Type="http://schemas.openxmlformats.org/officeDocument/2006/relationships/hyperlink" Target="http://www.michigan.gov/som/0,1607,7-192--141079--,00.html" TargetMode="External"/><Relationship Id="rId17" Type="http://schemas.openxmlformats.org/officeDocument/2006/relationships/hyperlink" Target="http://www.michigan.gov/mdch/0,4612,7-132-2940_2955_2983-44657--,00.html" TargetMode="External"/><Relationship Id="rId25" Type="http://schemas.openxmlformats.org/officeDocument/2006/relationships/hyperlink" Target="http://www.michigan.gov/mdch/0,4612,7-132-2940_2955_2983-19915--,00.html" TargetMode="External"/><Relationship Id="rId33" Type="http://schemas.openxmlformats.org/officeDocument/2006/relationships/hyperlink" Target="http://www.michigan.gov/" TargetMode="External"/><Relationship Id="rId38" Type="http://schemas.openxmlformats.org/officeDocument/2006/relationships/hyperlink" Target="http://www.michigan.gov/mdch/0,4612,7-132-3836-2089--,0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michigan.gov/mdch/0,4612,7-132-2940_2955_2983-226728--,00.html" TargetMode="External"/><Relationship Id="rId20" Type="http://schemas.openxmlformats.org/officeDocument/2006/relationships/hyperlink" Target="http://www.michigan.gov/mdch/0,4612,7-132-2940_2955_2983-19931--,00.html" TargetMode="External"/><Relationship Id="rId29" Type="http://schemas.openxmlformats.org/officeDocument/2006/relationships/hyperlink" Target="http://www.michigan.gov/mdch/0,4612,7-132-2940_2955_2983-19927--,00.html" TargetMode="External"/><Relationship Id="rId41" Type="http://schemas.openxmlformats.org/officeDocument/2006/relationships/hyperlink" Target="http://www.michigan.gov/minewswir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chigan.gov/business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://www.michigan.gov/mdch/0,4612,7-132-2940_2955_2983-66299--,00.html" TargetMode="External"/><Relationship Id="rId32" Type="http://schemas.openxmlformats.org/officeDocument/2006/relationships/hyperlink" Target="http://www.michigan.gov/mdch/0,4612,7-132-2940_2955_2983-44750--,00.html" TargetMode="External"/><Relationship Id="rId37" Type="http://schemas.openxmlformats.org/officeDocument/2006/relationships/hyperlink" Target="http://www.michigan.gov/mdch/0,4612,7-132-3835-2088--,00.html" TargetMode="External"/><Relationship Id="rId40" Type="http://schemas.openxmlformats.org/officeDocument/2006/relationships/hyperlink" Target="http://www.michigan.gov/mdch/0,4612,7-132-3840-2301--,00.html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hyperlink" Target="http://www.michigan.gov/mdch/0,4612,7-132-2940_2955_2983-19892--,00.html" TargetMode="External"/><Relationship Id="rId28" Type="http://schemas.openxmlformats.org/officeDocument/2006/relationships/hyperlink" Target="http://www.michigan.gov/mdch/0,4612,7-132-2940_2955_2983-19898--,00.html" TargetMode="External"/><Relationship Id="rId36" Type="http://schemas.openxmlformats.org/officeDocument/2006/relationships/hyperlink" Target="http://www.michigan.gov/mdch/0,1607,7-132----A,00.html" TargetMode="External"/><Relationship Id="rId10" Type="http://schemas.openxmlformats.org/officeDocument/2006/relationships/hyperlink" Target="http://www.michigan.gov/som/0,1607,7-192-29929---SERV,00.html" TargetMode="External"/><Relationship Id="rId19" Type="http://schemas.openxmlformats.org/officeDocument/2006/relationships/hyperlink" Target="http://www.michigan.gov/mdch/0,4612,7-132-2940_2955_2983-42276--,00.html" TargetMode="External"/><Relationship Id="rId31" Type="http://schemas.openxmlformats.org/officeDocument/2006/relationships/hyperlink" Target="http://www.michigan.gov/mdch/0,4612,7-132-2940_2955_2983-19935--,00.html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hyperlink" Target="http://www.michigan.gov/mdch/0,1607,7-132----RA,00.html" TargetMode="External"/><Relationship Id="rId22" Type="http://schemas.openxmlformats.org/officeDocument/2006/relationships/hyperlink" Target="http://www.michigan.gov/mdch/0,4612,7-132-2940_2955_2983-19831--,00.html" TargetMode="External"/><Relationship Id="rId27" Type="http://schemas.openxmlformats.org/officeDocument/2006/relationships/hyperlink" Target="http://www.michigan.gov/mdch/0,4612,7-132-2940_2955_2983-19921--,00.html" TargetMode="External"/><Relationship Id="rId30" Type="http://schemas.openxmlformats.org/officeDocument/2006/relationships/hyperlink" Target="http://www.michigan.gov/mdch/0,4612,7-132-2940_2955_2983-19572--,00.html" TargetMode="External"/><Relationship Id="rId35" Type="http://schemas.openxmlformats.org/officeDocument/2006/relationships/hyperlink" Target="http://www.michigan.gov/mdch/0,4612,7-132-8526-58525--,00.html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Angus Junkin</dc:creator>
  <cp:lastModifiedBy>Angus Junkin</cp:lastModifiedBy>
  <cp:revision>2</cp:revision>
  <dcterms:created xsi:type="dcterms:W3CDTF">2012-02-01T18:30:00Z</dcterms:created>
  <dcterms:modified xsi:type="dcterms:W3CDTF">2012-02-01T18:30:00Z</dcterms:modified>
</cp:coreProperties>
</file>